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E73C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Применение технологии индукционного пайки источников питания в производстве ветрогенераторов</w:t>
      </w:r>
    </w:p>
    <w:p w14:paraId="45674667">
      <w:pPr>
        <w:bidi w:val="0"/>
        <w:rPr>
          <w:rFonts w:hint="eastAsia"/>
          <w:color w:val="0000FF"/>
        </w:rPr>
      </w:pPr>
    </w:p>
    <w:p w14:paraId="1FE0FAD2">
      <w:pPr>
        <w:bidi w:val="0"/>
        <w:rPr>
          <w:rFonts w:hint="eastAsia"/>
          <w:color w:val="0000FF"/>
        </w:rPr>
      </w:pPr>
      <w:r>
        <w:rPr>
          <w:rFonts w:hint="eastAsia"/>
          <w:color w:val="0000FF"/>
        </w:rPr>
        <w:t>ООО Шанхай Бамакэ Электрооборудование</w:t>
      </w:r>
      <w:r>
        <w:rPr>
          <w:rFonts w:hint="eastAsia"/>
          <w:color w:val="0000FF"/>
          <w:lang w:val="en-US" w:eastAsia="zh-CN"/>
        </w:rPr>
        <w:t xml:space="preserve">     </w:t>
      </w:r>
      <w:r>
        <w:rPr>
          <w:color w:val="0000FF"/>
        </w:rPr>
        <w:t>Ли Нанкунь</w:t>
      </w:r>
    </w:p>
    <w:p w14:paraId="4D328F31">
      <w:pPr>
        <w:bidi w:val="0"/>
        <w:jc w:val="left"/>
        <w:rPr>
          <w:rFonts w:hint="default" w:ascii="Times New Roman" w:hAnsi="Times New Roman" w:cs="Times New Roman"/>
          <w:color w:val="0000FF"/>
        </w:rPr>
      </w:pPr>
    </w:p>
    <w:p w14:paraId="1FE8D247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Основное содержание: В статье рассматриваются особенности и специальные требования индукционной пайки обмоток ветряных генераторов, исследуются новые технологии индукционного нагрева, приводятся примеры практического применения, а также проводится технический анализ источников питания по вопросам согласования импеданса, эффективности и конструкции.</w:t>
      </w:r>
    </w:p>
    <w:p w14:paraId="09ABFCC0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Ключевые слова: индукционная пайка, индукционный нагрев, ветряной генератор, согласование импеданса, эффективность.</w:t>
      </w:r>
    </w:p>
    <w:p w14:paraId="1ECB01E4">
      <w:pPr>
        <w:bidi w:val="0"/>
        <w:jc w:val="left"/>
        <w:rPr>
          <w:rFonts w:hint="default" w:ascii="Times New Roman" w:hAnsi="Times New Roman" w:cs="Times New Roman"/>
          <w:color w:val="0000FF"/>
        </w:rPr>
      </w:pPr>
    </w:p>
    <w:p w14:paraId="5725F9A2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I. Введение</w:t>
      </w:r>
      <w:r>
        <w:rPr>
          <w:rFonts w:hint="default" w:ascii="Times New Roman" w:hAnsi="Times New Roman" w:cs="Times New Roman"/>
          <w:color w:val="0000FF"/>
        </w:rPr>
        <w:br w:type="textWrapping"/>
      </w:r>
      <w:r>
        <w:rPr>
          <w:rFonts w:hint="default" w:ascii="Times New Roman" w:hAnsi="Times New Roman" w:cs="Times New Roman"/>
          <w:color w:val="0000FF"/>
        </w:rPr>
        <w:t>Технология индукционного нагрева использует наведённые токи, возникающие в проводнике под действием высокочастотного магнитного поля, для его разогрева. В настоящее время она широко применяется в областях термической обработки металлов, сварки, пропекания, плавки, термо-сборки, а также в полупроводниковой промышленности. По сравнению с газовым или электрическим нагревом, индукционный нагрев обладает значительной энергоэффективностью, бесконтактностью, высокой скоростью, простотой технологических процессов и удобством автоматизации.</w:t>
      </w:r>
    </w:p>
    <w:p w14:paraId="7E6AD0A9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В производстве электродвигателей, особенно крупных генераторов, индукционная пайка играет важную роль. Многие соединения обмоток, параллельные соединения, а также соединения медных шин, токоведущих стержней и фланцев выполняются с помощью индукционной пайки, что обеспечивает стабильное качество соединений, минимальное повреждение изоляции, высокую скорость нагрева, хорошую управляемость и удобство эксплуатации.</w:t>
      </w:r>
    </w:p>
    <w:p w14:paraId="5F05838F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В последние годы, с ростом государственной поддержки и внедрения ветроэнергетики, технологии производства ветровых генераторов развиваются быстрыми темпами. Из-за специфической конструкции ветровых генераторов пайка обмоток ротора полностью выполняется с использованием индукционной пайки.</w:t>
      </w:r>
    </w:p>
    <w:p w14:paraId="1F0CEB8E">
      <w:pPr>
        <w:adjustRightInd w:val="0"/>
        <w:snapToGrid w:val="0"/>
        <w:spacing w:before="156" w:beforeLines="50" w:line="300" w:lineRule="auto"/>
        <w:ind w:firstLine="233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</w:p>
    <w:p w14:paraId="2D61002B">
      <w:pPr>
        <w:numPr>
          <w:numId w:val="0"/>
        </w:numPr>
        <w:adjustRightInd w:val="0"/>
        <w:snapToGrid w:val="0"/>
        <w:spacing w:before="312" w:beforeLines="100" w:line="300" w:lineRule="auto"/>
        <w:rPr>
          <w:rFonts w:hint="eastAsia" w:ascii="幼圆" w:hAnsi="Arial" w:eastAsia="幼圆" w:cs="Times New Roman"/>
          <w:b/>
          <w:snapToGrid w:val="0"/>
          <w:kern w:val="0"/>
          <w:szCs w:val="21"/>
          <w14:ligatures w14:val="none"/>
        </w:rPr>
      </w:pPr>
    </w:p>
    <w:p w14:paraId="1FDA3A1F">
      <w:pPr>
        <w:bidi w:val="0"/>
        <w:rPr>
          <w:rFonts w:hint="eastAsia"/>
          <w:color w:val="0000FF"/>
        </w:rPr>
      </w:pPr>
      <w:r>
        <w:rPr>
          <w:color w:val="0000FF"/>
        </w:rPr>
        <w:t>II. Индукционная пайка обмоток ветрового генератора</w:t>
      </w:r>
    </w:p>
    <w:p w14:paraId="1174CC5B">
      <w:pPr>
        <w:adjustRightInd w:val="0"/>
        <w:snapToGrid w:val="0"/>
        <w:spacing w:before="156" w:beforeLines="50" w:line="300" w:lineRule="auto"/>
        <w:ind w:firstLine="233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  <w:r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  <w:t xml:space="preserve"> </w:t>
      </w:r>
    </w:p>
    <w:p w14:paraId="0DC31E3E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2.1. Особенности обмоток ротора ветрового генератора</w:t>
      </w:r>
    </w:p>
    <w:p w14:paraId="19006C02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В настоящее время широко применяются ветровые генераторы с постоянной частотой и двойной подачей (DFIG) с роторами на намотках, представляющими собой асинхронные генераторы с короткозамкнутым ротором. Статор и ротор генератора имеют трехфазные симметричные обмотки. Статор подключен к сети, а ротор через широтно-импульсный инвертор получает переменный возбуждающий ток с регулируемой частотой и направлением энергии.</w:t>
      </w:r>
    </w:p>
    <w:p w14:paraId="221EF81C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Регулируя частоту трехфазного тока в обмотках ротора, можно поддерживать постоянную рабочую частоту на выходе статора при различных скоростях вращения лопастей ветрового генератора.</w:t>
      </w:r>
    </w:p>
    <w:p w14:paraId="1D6BE29F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Так как обмотки ротора ветрового генератора DFIG несут значительную кажущуюся мощность, для совместимости с силовой электроникой необходимо снижать напряжение на концах ротора и повышать ток в обмотках. Поэтому применяются обмотки с медными шинами, а соединения верхнего и нижнего слоев обмоток выполняются с использованием индукционной пайки серебряным припоем.</w:t>
      </w:r>
    </w:p>
    <w:p w14:paraId="16A01C29">
      <w:pPr>
        <w:adjustRightInd w:val="0"/>
        <w:snapToGrid w:val="0"/>
        <w:spacing w:before="156" w:beforeLines="50" w:line="300" w:lineRule="auto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  <w:r>
        <w:rPr>
          <w:rFonts w:hint="eastAsia" w:ascii="Arial" w:hAnsi="Arial" w:eastAsia="宋体" w:cs="Times New Roman"/>
          <w:kern w:val="0"/>
          <w:szCs w:val="21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3550920</wp:posOffset>
            </wp:positionH>
            <wp:positionV relativeFrom="paragraph">
              <wp:posOffset>953770</wp:posOffset>
            </wp:positionV>
            <wp:extent cx="2720340" cy="1737360"/>
            <wp:effectExtent l="19050" t="0" r="3810" b="0"/>
            <wp:wrapSquare wrapText="bothSides"/>
            <wp:docPr id="396" name="图片 0" descr="转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0" descr="转子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C3D21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2.2. Основные требования к индукционной пайке обмоток</w:t>
      </w:r>
    </w:p>
    <w:p w14:paraId="06BCFC32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При использовании серебряной пайки необходимо нагреть участок медной обмотки, предназначенный для пайки, до температуры около 750 °C, чтобы расплавить предварительно уложенные в месте соединения серебряные припои и флюс, либо подать паяльный пруток после достижения необходимой температуры, а затем выдерживать его определенное время, чтобы расплавленный припой полностью растекся и сформировал прочное соединение. При нагреве необходимо контролировать температуру в месте пайки: слишком низкая температура не позволит припою полностью соединиться с медью, что приведет к ненадежному шву; слишком высокая температура приведет к слишком быстрому растеканию припоя, что не позволит сформировать нормальный шов, кроме того, может произойти повреждение изоляции и образование избыточных оксидов.</w:t>
      </w:r>
    </w:p>
    <w:p w14:paraId="7A5FF844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Повреждение изоляции является критически важным фактором, и малый уровень такого повреждения — одно из главных преимуществ индукционной пайки. Так как кратковременное воздействие температуры на изоляцию обмотки обычно не превышает 240 °C, а допустимая кратковременная температура не должна превышать 300 °C, при пайке соединения разогреваются до 750 °C, и благодаря высокой теплопроводности меди тепло легко распространяется к изоляции при большой зоне нагрева или длительном времени нагрева. Следовательно, ключевое требование к пайке обмоток — сосредоточенный и быстрый нагрев.</w:t>
      </w:r>
    </w:p>
    <w:p w14:paraId="159397AF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Перед пайкой на концах обмоток необходимо удалить изоляцию на определенной длине соединяемого участка, и весь процесс нагрева и пайки должен быть организован так, чтобы тепло не успевало передаваться к изоляции. Например, для ветрового генератора с постоянной частотой и двойной подачей мощностью 1,5 МВт требуется выполнить соединение обмоток на одном участке в течение 6 с. При использовании индукционного нагрева участок соединения нагревается от комнатной температуры до 750 °C всего за 2 с, чего невозможно достичь при пламени или других способах пайки. Такой быстрый нагрев минимизирует повреждение изоляции обмоток.</w:t>
      </w:r>
    </w:p>
    <w:p w14:paraId="686AF293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С точки зрения конструкции, индукционная пайка также эффективно решает технологическую задачу соединения концов обмоток ротора. Ветрогенераторы с постоянной частотой и двойной подачей обычно имеют 4- или 6-полюсные симметричные трехфазные роторы с высоковольтными обмотками, структура обмоток сложная, количество концов велико, а расстояние между ними очень мало. Как показано на рисунке справа, на каждом конце ротора более ста соединений, при этом расстояние между соседними соединениями всего 10 мм. Технологическое требование заключается в том, чтобы пайка выполнялась на участке не менее 20 мм от конца внутрь, с учетом ограничения по повреждению изоляции. Поэтому традиционный способ нагрева пламени не может удовлетворить этим требованиям.</w:t>
      </w:r>
    </w:p>
    <w:p w14:paraId="01506AD1">
      <w:pPr>
        <w:adjustRightInd w:val="0"/>
        <w:snapToGrid w:val="0"/>
        <w:spacing w:before="156" w:beforeLines="50" w:line="300" w:lineRule="auto"/>
        <w:ind w:firstLine="405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</w:p>
    <w:p w14:paraId="2043FC0B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2.3. Требования к источнику питания</w:t>
      </w:r>
    </w:p>
    <w:p w14:paraId="5E5741FE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Хотя индукционная пайка уже стала наилучшей существующей технологией пайки обмоток ротора ветрогенераторов, не все индукционные источники питания способны справиться с этой задачей. К источнику предъявляются высокие требования как по технологическим характеристикам, так и по функциональности.</w:t>
      </w:r>
    </w:p>
    <w:p w14:paraId="1663B467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Основное требование заключается в возможности быстрого нагрева медных обмоток, что требует создания в однооборотной индукционной катушке высокочастотного тока порядка 4000 А. Подробный анализ характеристик индукционного нагрева меди и специальных требований к источнику питания приведен далее.</w:t>
      </w:r>
    </w:p>
    <w:p w14:paraId="5D6FA63F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Во-вторых, с точки зрения эксплуатации, нагрев участка пайки распределен по окружности конца ротора. После завершения пайки одного соединения катушку необходимо переместить, а ротор повернуть на определенный угол. Поэтому индукционная катушка и подключенный к ней трансформатор должны быть компактными и легкими, чтобы процесс нагрева можно было выполнять эффективно и удобно.</w:t>
      </w:r>
    </w:p>
    <w:p w14:paraId="7DAA8C0C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Кроме того, для работы в режиме точного позиционного контроля температуры источник питания должен обладать возможностью быстрого включения и отключения. Для регулирования времени нагрева и температуры источник должен иметь хорошие характеристики управления. Для нагрева и пайки обмоток генераторов разных мощностей источник питания должен автоматически адаптироваться к различным индукционным катушкам. Если требуется работа в режиме поддержания постоянной температуры, источник должен обеспечивать быстрый замкнутый температурный контур.</w:t>
      </w:r>
    </w:p>
    <w:p w14:paraId="2DE74B26">
      <w:pPr>
        <w:adjustRightInd w:val="0"/>
        <w:snapToGrid w:val="0"/>
        <w:spacing w:before="156" w:beforeLines="50" w:line="300" w:lineRule="auto"/>
        <w:ind w:firstLine="420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</w:p>
    <w:p w14:paraId="4FC02BFB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2.4. Электромагнитные характеристики индукционного нагрева меди</w:t>
      </w:r>
    </w:p>
    <w:p w14:paraId="569A70D7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Удельное сопротивление и магнитная проницаемость меди и других распространённых материалов при комнатной температуре приведены в следующей таблице:</w:t>
      </w:r>
    </w:p>
    <w:p w14:paraId="635FE7FF">
      <w:pPr>
        <w:adjustRightInd w:val="0"/>
        <w:snapToGrid w:val="0"/>
        <w:spacing w:before="156" w:beforeLines="50" w:line="300" w:lineRule="auto"/>
        <w:ind w:firstLine="405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</w:p>
    <w:p w14:paraId="2D81EB6E">
      <w:pPr>
        <w:adjustRightInd w:val="0"/>
        <w:snapToGrid w:val="0"/>
        <w:spacing w:before="156" w:beforeLines="50" w:line="300" w:lineRule="auto"/>
        <w:ind w:firstLine="405"/>
        <w:rPr>
          <w:rFonts w:hint="eastAsia" w:ascii="Cambria Math" w:hAnsi="Cambria Math" w:eastAsia="宋体" w:cs="宋体"/>
          <w:snapToGrid w:val="0"/>
          <w:kern w:val="0"/>
          <w:szCs w:val="21"/>
          <w14:ligatures w14:val="none"/>
        </w:rPr>
      </w:pPr>
    </w:p>
    <w:tbl>
      <w:tblPr>
        <w:tblStyle w:val="36"/>
        <w:tblW w:w="7371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35"/>
        <w:gridCol w:w="2693"/>
      </w:tblGrid>
      <w:tr w14:paraId="6ACE3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43" w:type="dxa"/>
          </w:tcPr>
          <w:p w14:paraId="1F0C43CF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Материал</w:t>
            </w:r>
          </w:p>
        </w:tc>
        <w:tc>
          <w:tcPr>
            <w:tcW w:w="2835" w:type="dxa"/>
          </w:tcPr>
          <w:p w14:paraId="58444826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Электрическое сопротивление (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sym w:font="Symbol" w:char="F057"/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·м)</w:t>
            </w:r>
          </w:p>
        </w:tc>
        <w:tc>
          <w:tcPr>
            <w:tcW w:w="2693" w:type="dxa"/>
          </w:tcPr>
          <w:p w14:paraId="2D56E27F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Магнитная проницаемость</w:t>
            </w:r>
          </w:p>
        </w:tc>
      </w:tr>
      <w:tr w14:paraId="1E628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57626040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Медь (Cu)</w:t>
            </w:r>
          </w:p>
        </w:tc>
        <w:tc>
          <w:tcPr>
            <w:tcW w:w="2835" w:type="dxa"/>
          </w:tcPr>
          <w:p w14:paraId="452842E8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m:oMath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0000FF"/>
                  <w:sz w:val="21"/>
                  <w:szCs w:val="21"/>
                </w:rPr>
                <m:t>1.75×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sSupPr>
                <m:e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FF"/>
                      <w:sz w:val="21"/>
                      <w:szCs w:val="21"/>
                    </w:rPr>
                    <m:t>10</m:t>
                  </m: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e>
                <m:sup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FF"/>
                      <w:sz w:val="21"/>
                      <w:szCs w:val="21"/>
                    </w:rPr>
                    <m:t>−8</m:t>
                  </m: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sup>
              </m:sSup>
            </m:oMath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</w:tcPr>
          <w:p w14:paraId="137AE292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0.999912</w:t>
            </w:r>
          </w:p>
        </w:tc>
      </w:tr>
      <w:tr w14:paraId="28432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506990CF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Алюминий (Al)</w:t>
            </w:r>
          </w:p>
        </w:tc>
        <w:tc>
          <w:tcPr>
            <w:tcW w:w="2835" w:type="dxa"/>
          </w:tcPr>
          <w:p w14:paraId="2B220CCA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m:oMath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0000FF"/>
                  <w:sz w:val="21"/>
                  <w:szCs w:val="21"/>
                </w:rPr>
                <m:t>2.83×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sSupPr>
                <m:e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FF"/>
                      <w:sz w:val="21"/>
                      <w:szCs w:val="21"/>
                    </w:rPr>
                    <m:t>10</m:t>
                  </m: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e>
                <m:sup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FF"/>
                      <w:sz w:val="21"/>
                      <w:szCs w:val="21"/>
                    </w:rPr>
                    <m:t>−8</m:t>
                  </m: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sup>
              </m:sSup>
            </m:oMath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</w:tcPr>
          <w:p w14:paraId="3200791F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1.000022</w:t>
            </w:r>
          </w:p>
        </w:tc>
      </w:tr>
      <w:tr w14:paraId="0F8EF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370FBA79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Чистое железо (Fe)</w:t>
            </w:r>
          </w:p>
        </w:tc>
        <w:tc>
          <w:tcPr>
            <w:tcW w:w="2835" w:type="dxa"/>
          </w:tcPr>
          <w:p w14:paraId="271C7BE9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m:oMath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0000FF"/>
                  <w:sz w:val="21"/>
                  <w:szCs w:val="21"/>
                </w:rPr>
                <m:t>9.78×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sSupPr>
                <m:e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FF"/>
                      <w:sz w:val="21"/>
                      <w:szCs w:val="21"/>
                    </w:rPr>
                    <m:t>10</m:t>
                  </m: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e>
                <m:sup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FF"/>
                      <w:sz w:val="21"/>
                      <w:szCs w:val="21"/>
                    </w:rPr>
                    <m:t>−8</m:t>
                  </m: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sup>
              </m:sSup>
            </m:oMath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</w:tcPr>
          <w:p w14:paraId="44FB917A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18000</w:t>
            </w:r>
          </w:p>
        </w:tc>
      </w:tr>
      <w:tr w14:paraId="2336F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0989D8F7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Легированная сталь</w:t>
            </w:r>
          </w:p>
        </w:tc>
        <w:tc>
          <w:tcPr>
            <w:tcW w:w="2835" w:type="dxa"/>
          </w:tcPr>
          <w:p w14:paraId="79F09A37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m:oMath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0000FF"/>
                  <w:sz w:val="21"/>
                  <w:szCs w:val="21"/>
                </w:rPr>
                <m:t>5.0×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sSupPr>
                <m:e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FF"/>
                      <w:sz w:val="21"/>
                      <w:szCs w:val="21"/>
                    </w:rPr>
                    <m:t>10</m:t>
                  </m: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e>
                <m:sup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FF"/>
                      <w:sz w:val="21"/>
                      <w:szCs w:val="21"/>
                    </w:rPr>
                    <m:t>−7</m:t>
                  </m: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sup>
              </m:sSup>
            </m:oMath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 xml:space="preserve"> －</w:t>
            </w:r>
            <m:oMath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0000FF"/>
                  <w:sz w:val="21"/>
                  <w:szCs w:val="21"/>
                </w:rPr>
                <m:t xml:space="preserve"> 2.0×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sSupPr>
                <m:e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FF"/>
                      <w:sz w:val="21"/>
                      <w:szCs w:val="21"/>
                    </w:rPr>
                    <m:t>10</m:t>
                  </m: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e>
                <m:sup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0000FF"/>
                      <w:sz w:val="21"/>
                      <w:szCs w:val="21"/>
                    </w:rPr>
                    <m:t>−6</m:t>
                  </m:r>
                  <m:ctrlPr>
                    <w:rPr>
                      <w:rFonts w:hint="default" w:ascii="Cambria Math" w:hAnsi="Cambria Math" w:cs="Times New Roman"/>
                      <w:color w:val="0000FF"/>
                      <w:sz w:val="21"/>
                      <w:szCs w:val="21"/>
                    </w:rPr>
                  </m:ctrlPr>
                </m:sup>
              </m:sSup>
            </m:oMath>
          </w:p>
        </w:tc>
        <w:tc>
          <w:tcPr>
            <w:tcW w:w="2693" w:type="dxa"/>
          </w:tcPr>
          <w:p w14:paraId="30492FE8">
            <w:pPr>
              <w:bidi w:val="0"/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500－10000</w:t>
            </w:r>
          </w:p>
        </w:tc>
      </w:tr>
    </w:tbl>
    <w:p w14:paraId="7009127C">
      <w:pPr>
        <w:adjustRightInd w:val="0"/>
        <w:snapToGrid w:val="0"/>
        <w:spacing w:before="156" w:beforeLines="50" w:line="300" w:lineRule="auto"/>
        <w:ind w:firstLine="405"/>
        <w:rPr>
          <w:rFonts w:hint="eastAsia" w:ascii="Cambria Math" w:hAnsi="Cambria Math" w:eastAsia="宋体" w:cs="宋体"/>
          <w:snapToGrid w:val="0"/>
          <w:kern w:val="0"/>
          <w:szCs w:val="21"/>
          <w14:ligatures w14:val="none"/>
        </w:rPr>
      </w:pPr>
    </w:p>
    <w:p w14:paraId="43F1FE7C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Как видно, у меди и алюминия, по сравнению с железом, электрическое сопротивление очень низкое, и они не обладают магнитной проводимостью. В эквивалентном анализе индукционного нагрева последовательное сопротивление получается очень малым, поэтому в индукционную катушку необходимо подавать очень большой ток высокой частоты. Для ферромагнитных материалов, таких как железо и сталь, требуемый ток высокой частоты значительно меньше. Следовательно, проектирование и изготовление индукционного источника питания для меди представляет собой задачу высокой сложности.</w:t>
      </w:r>
    </w:p>
    <w:p w14:paraId="7AF7F6BA">
      <w:pPr>
        <w:bidi w:val="0"/>
        <w:jc w:val="left"/>
        <w:rPr>
          <w:rFonts w:hint="default" w:ascii="Times New Roman" w:hAnsi="Times New Roman" w:eastAsia="宋体" w:cs="Times New Roman"/>
          <w:color w:val="0000FF"/>
        </w:rPr>
      </w:pPr>
      <w:r>
        <w:rPr>
          <w:rFonts w:hint="default" w:ascii="Times New Roman" w:hAnsi="Times New Roman" w:eastAsia="宋体" w:cs="Times New Roman"/>
          <w:color w:val="0000FF"/>
        </w:rPr>
        <w:t>Для более детального изучения электромагнитных характеристик нагрева меди рассмотрим сравнение глубины эффекта скин-слоя (токов поверхностного слоя) для различных материалов при разных частотах (при комнатной температуре):</w:t>
      </w:r>
    </w:p>
    <w:p w14:paraId="3014DCDA">
      <w:pPr>
        <w:adjustRightInd w:val="0"/>
        <w:snapToGrid w:val="0"/>
        <w:spacing w:before="156" w:beforeLines="50" w:line="300" w:lineRule="auto"/>
        <w:ind w:firstLine="420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</w:p>
    <w:tbl>
      <w:tblPr>
        <w:tblStyle w:val="36"/>
        <w:tblW w:w="7513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1417"/>
        <w:gridCol w:w="1560"/>
        <w:gridCol w:w="1559"/>
      </w:tblGrid>
      <w:tr w14:paraId="18586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 w14:paraId="0811FEFF">
            <w:pPr>
              <w:bidi w:val="0"/>
              <w:rPr>
                <w:rFonts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Материал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75AD40B2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  <w:t>50Hz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20029D8F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  <w:t>1kHz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5A5A0DC0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  <w:t>5kHz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3BA58867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  <w:t>25kHz</w:t>
            </w:r>
          </w:p>
        </w:tc>
      </w:tr>
      <w:tr w14:paraId="43B1A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 w14:paraId="5E57FAE3">
            <w:pPr>
              <w:bidi w:val="0"/>
              <w:rPr>
                <w:rFonts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Медь (Cu)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70E72A1B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9.5mm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539AE824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2.12mm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0CE57E3B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0.95mm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01DEF3D2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0.42mm</w:t>
            </w:r>
          </w:p>
        </w:tc>
      </w:tr>
      <w:tr w14:paraId="04DC8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 w14:paraId="6825E90D">
            <w:pPr>
              <w:bidi w:val="0"/>
              <w:rPr>
                <w:rFonts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Алюминий (Al)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1404F363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12.1mm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14342A1D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2.71mm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52037457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1.21mm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6E9939B8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0.53mm</w:t>
            </w:r>
          </w:p>
        </w:tc>
      </w:tr>
      <w:tr w14:paraId="08620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 w14:paraId="4C95FB7D">
            <w:pPr>
              <w:bidi w:val="0"/>
              <w:rPr>
                <w:rFonts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Чистое железо (Fe)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17EAA2C4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0.17mm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20E4808D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0.038mm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309D490B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0.017mm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7C4403F5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0.0074mm</w:t>
            </w:r>
          </w:p>
        </w:tc>
      </w:tr>
      <w:tr w14:paraId="0F0E4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top"/>
          </w:tcPr>
          <w:p w14:paraId="065A79B8">
            <w:pPr>
              <w:bidi w:val="0"/>
              <w:rPr>
                <w:rFonts w:ascii="Cambria Math" w:hAnsi="Cambria Math" w:eastAsia="宋体" w:cs="宋体"/>
                <w:b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</w:rPr>
              <w:t>Легированная сталь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 w14:paraId="7C85CBAE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1.32mm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149E11DC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0.29mm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 w14:paraId="18B392AA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0.13mm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 w14:paraId="4CDA4287">
            <w:pPr>
              <w:adjustRightInd w:val="0"/>
              <w:snapToGrid w:val="0"/>
              <w:spacing w:line="300" w:lineRule="auto"/>
              <w:rPr>
                <w:rFonts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</w:pPr>
            <w:r>
              <w:rPr>
                <w:rFonts w:hint="eastAsia" w:ascii="Cambria Math" w:hAnsi="Cambria Math" w:eastAsia="宋体" w:cs="宋体"/>
                <w:snapToGrid w:val="0"/>
                <w:color w:val="0000FF"/>
                <w:kern w:val="0"/>
                <w:szCs w:val="21"/>
                <w14:ligatures w14:val="none"/>
              </w:rPr>
              <w:t>0.058mm</w:t>
            </w:r>
          </w:p>
        </w:tc>
      </w:tr>
    </w:tbl>
    <w:p w14:paraId="37014428">
      <w:pPr>
        <w:adjustRightInd w:val="0"/>
        <w:snapToGrid w:val="0"/>
        <w:spacing w:before="156" w:beforeLines="50" w:line="300" w:lineRule="auto"/>
        <w:ind w:firstLine="420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</w:p>
    <w:p w14:paraId="3CE30EBD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Примечание: инженерная формула для расчёта глубины эффекта скин-слоя переменного тока выглядит следующим образом:</w:t>
      </w:r>
    </w:p>
    <w:p w14:paraId="02C2BDA4">
      <w:pPr>
        <w:adjustRightInd w:val="0"/>
        <w:snapToGrid w:val="0"/>
        <w:spacing w:before="156" w:beforeLines="50" w:line="300" w:lineRule="auto"/>
        <w:ind w:firstLine="420"/>
        <w:rPr>
          <w:rFonts w:ascii="Arial" w:hAnsi="Arial" w:eastAsia="宋体" w:cs="Times New Roman"/>
          <w:snapToGrid w:val="0"/>
          <w:color w:val="0000FF"/>
          <w:kern w:val="0"/>
          <w:position w:val="-32"/>
          <w:szCs w:val="21"/>
          <w14:ligatures w14:val="none"/>
        </w:rPr>
      </w:pPr>
      <w:r>
        <w:rPr>
          <w:rFonts w:hint="eastAsia" w:ascii="Arial" w:hAnsi="Arial" w:eastAsia="宋体" w:cs="Times New Roman"/>
          <w:snapToGrid w:val="0"/>
          <w:color w:val="0000FF"/>
          <w:kern w:val="0"/>
          <w:szCs w:val="21"/>
          <w14:ligatures w14:val="none"/>
        </w:rPr>
        <w:t xml:space="preserve"> </w:t>
      </w:r>
      <w:r>
        <w:rPr>
          <w:rFonts w:ascii="Arial" w:hAnsi="Arial" w:eastAsia="宋体" w:cs="Times New Roman"/>
          <w:snapToGrid w:val="0"/>
          <w:color w:val="0000FF"/>
          <w:kern w:val="0"/>
          <w:position w:val="-32"/>
          <w:szCs w:val="21"/>
          <w14:ligatures w14:val="none"/>
        </w:rPr>
        <w:object>
          <v:shape id="_x0000_i1026" o:spt="75" type="#_x0000_t75" style="height:35pt;width:59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6" DrawAspect="Content" ObjectID="_1468075725" r:id="rId5">
            <o:LockedField>false</o:LockedField>
          </o:OLEObject>
        </w:object>
      </w:r>
    </w:p>
    <w:p w14:paraId="01088CBA">
      <w:pPr>
        <w:adjustRightInd w:val="0"/>
        <w:snapToGrid w:val="0"/>
        <w:spacing w:before="156" w:beforeLines="50" w:line="300" w:lineRule="auto"/>
        <w:ind w:firstLine="420"/>
        <w:rPr>
          <w:rFonts w:ascii="Arial" w:hAnsi="Arial" w:eastAsia="宋体" w:cs="Times New Roman"/>
          <w:snapToGrid w:val="0"/>
          <w:kern w:val="0"/>
          <w:position w:val="-32"/>
          <w:szCs w:val="21"/>
          <w14:ligatures w14:val="none"/>
        </w:rPr>
      </w:pPr>
    </w:p>
    <w:p w14:paraId="1252E008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где d — глубина эффекта скин-слоя, f — частота (в Гц), μ — магнитная проницаемость, σ — электропроводность (в м/мм², например, электропроводность меди σ = 56,2 м/мм²).</w:t>
      </w:r>
    </w:p>
    <w:p w14:paraId="6F6A97AC">
      <w:pPr>
        <w:adjustRightInd w:val="0"/>
        <w:snapToGrid w:val="0"/>
        <w:spacing w:before="156" w:beforeLines="50" w:line="300" w:lineRule="auto"/>
        <w:ind w:firstLine="420"/>
        <w:rPr>
          <w:rFonts w:ascii="Arial" w:hAnsi="Arial" w:eastAsia="宋体" w:cs="Times New Roman"/>
          <w:snapToGrid w:val="0"/>
          <w:kern w:val="0"/>
          <w:szCs w:val="21"/>
          <w14:ligatures w14:val="none"/>
        </w:rPr>
      </w:pPr>
    </w:p>
    <w:p w14:paraId="6FACC2D5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Согласно принципам электромагнитной индукции и на основе приведённых данных можно сделать вывод: медные шины толщиной в несколько миллиметров целесообразно подвергать индукционному нагреву на достаточно высокой частоте. Если толщина медной шины составляет 4 мм, индукционный нагрев при частоте 1 кГц крайне затруднителен и его эффективность будет очень низкой. Обычно частота индукционного нагрева при пайке обмоток ротора синхронных ветрогенераторов с постоянной частотой двойного питания находится в диапазоне 15–40 кГц.</w:t>
      </w:r>
    </w:p>
    <w:p w14:paraId="17EFD825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При высоких температурах у металлических материалов, включая медь, сопротивление увеличивается, а электропроводность снижается, следовательно, глубина эффекта скин-слоя увеличивается. Однако последовательное эквивалентное сопротивление также возрастает, поэтому при одинаковом токе в индукционной катушке медь при высокой температуре получает немного больше индукционной мощности, чем при низкой.</w:t>
      </w:r>
    </w:p>
    <w:p w14:paraId="102A749A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Среди всех материалов медь обладает наилучшей теплопроводностью, что в применении к индукционной пайке обмоток генератора является неблагоприятным фактором. Это приводит к быстрому переносу тепла от зоны нагрева к изоляции обмотки. Если контроль температуры и времени недостаточен, легко возникает повреждение изоляции. Кроме того, слишком быстрое распространение тепла вызывает дополнительные потери энергии, поэтому требуется большая подводимая мощность для обеспечения необходимой температуры пайки.</w:t>
      </w:r>
    </w:p>
    <w:p w14:paraId="119DF9A1">
      <w:pPr>
        <w:adjustRightInd w:val="0"/>
        <w:snapToGrid w:val="0"/>
        <w:spacing w:before="156" w:beforeLines="50" w:line="300" w:lineRule="auto"/>
        <w:ind w:firstLine="405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</w:p>
    <w:p w14:paraId="22777F10">
      <w:pPr>
        <w:pStyle w:val="12"/>
        <w:bidi w:val="0"/>
        <w:rPr>
          <w:rFonts w:hint="default" w:ascii="Times New Roman" w:hAnsi="Times New Roman" w:cs="Times New Roman"/>
          <w:color w:val="0000FF"/>
          <w:sz w:val="21"/>
          <w:szCs w:val="21"/>
        </w:rPr>
      </w:pPr>
      <w:r>
        <w:rPr>
          <w:rFonts w:hint="default" w:ascii="Times New Roman" w:hAnsi="Times New Roman" w:cs="Times New Roman"/>
          <w:color w:val="0000FF"/>
          <w:sz w:val="21"/>
          <w:szCs w:val="21"/>
        </w:rPr>
        <w:t>III. Технология источников питания</w:t>
      </w:r>
    </w:p>
    <w:p w14:paraId="1D8CD53E">
      <w:pPr>
        <w:adjustRightInd w:val="0"/>
        <w:snapToGrid w:val="0"/>
        <w:spacing w:before="312" w:beforeLines="100" w:line="300" w:lineRule="auto"/>
        <w:rPr>
          <w:rFonts w:hint="eastAsia" w:ascii="幼圆" w:hAnsi="Arial" w:eastAsia="幼圆" w:cs="Times New Roman"/>
          <w:b/>
          <w:snapToGrid w:val="0"/>
          <w:kern w:val="0"/>
          <w:szCs w:val="21"/>
          <w14:ligatures w14:val="none"/>
        </w:rPr>
      </w:pPr>
    </w:p>
    <w:p w14:paraId="41E6E256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Индукционный источник питания для нагрева в основном состоит из инвертора, резонансного блока, трансформатора и индукционной катушки. Инвертор представляет собой преобразователь переменного тока в постоянный и снова в переменный, который преобразует промышленное напряжение в высокочастотную энергию в диапазоне от нескольких килогерц до сотен килогерц. Резонансный блок и трансформатор с одной стороны соединены с инвертором, а с другой — с индукционной катушкой, преобразуя высокое напряжение в изолированное низкое и выполняя согласование импедансов. При нагреве через катушку протекает мощный высокочастотный ток, создающий в заготовке индуцированный ток, что обеспечивает быстрый нагрев материала.</w:t>
      </w:r>
    </w:p>
    <w:p w14:paraId="29551783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Ниже рассматриваются ключевые технические аспекты применения высокочастотного индукционного источника питания серии AtecD, разработанного и выпускаемого компанией Bamac (ООО Шанхай Бамакэ Электрооборудование) для пайки обмоток ротора ветрогенераторов.</w:t>
      </w:r>
    </w:p>
    <w:p w14:paraId="296A2322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В применении к пайке обмоток ротора ветрогенераторов индукционная катушка должна часто перемещаться, поэтому трансформатор должен быть компактным, легким и с низкой утечкой. Поскольку на частоте 25 кГц требуется выходной ток около 4000 A, трансформатор должен иметь крайне низкое сопротивление рассеяния; иначе внутренняя реактивная и активная мощность будут значительными, снизится КПД, а габариты оборудования увеличатся. В устройствах пайки ротора ветрогенераторов Bamac использует трансформаторы с магнитопроводом из ультрамелкозернистого (нанокристаллического) материала, отличающиеся малыми размерами, низкими потерями и низким короткозамкнутым сопротивлением.</w:t>
      </w:r>
    </w:p>
    <w:p w14:paraId="4A4058C0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Источник питания Bamac рассчитан на работу в диапазоне 20–30 кГц для пайки обмоток ротора и показал хорошие результаты. Как уже отмечалось, частота не должна быть слишком низкой, но и слишком высокая частота также ухудшает качество пайки; практический опыт показывает, что при частоте выше 100 кГц формирование шва и качество пайки заметно снижаются.</w:t>
      </w:r>
    </w:p>
    <w:p w14:paraId="24488D9A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Рабочая частота источника питания должна совпадать с резонансной частотой индукционной катушки и внутреннего конденсатора. Для автоматической адаптации к разным катушкам Bamac применяет технологию автоматического фазового слежения. Для обмоток разных мощностей размеры катушек различаются, а значит и рабочая частота отличается. При использовании автоматического фазового слежения замена катушки не требует настроек источника питания, который автоматически блокируется на новой резонансной частоте.</w:t>
      </w:r>
    </w:p>
    <w:p w14:paraId="6E53D425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Для пайки меди часто применяют однооборотные катушки. Для повышения КПД и плотности мощности нагрева в катушку вставляют магнитопровод; это увеличивает эффективность и уменьшает рабочий ток катушки, облегчая проектирование источника питания. Однако в оборудовании для пайки ротора ветрогенераторов из-за ограниченного пространства использование магнитопровода невозможно.</w:t>
      </w:r>
    </w:p>
    <w:p w14:paraId="4B5F58C4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Согласование импедансов при нагреве меди также крайне важно. При неправильном согласовании выходная мощность источника будет недостаточной, что может помешать соблюдению технологического процесса. Согласование импедансов можно рассчитать количественно: в эквивалентном анализе индукционного нагрева заготовка рассматривается как последовательное сопротивление R, и мощность, получаемая обмоткой, определяется по формуле P=</w:t>
      </w:r>
      <w:r>
        <w:rPr>
          <w:rFonts w:hint="eastAsia" w:ascii="Cambria Math" w:hAnsi="Cambria Math" w:eastAsia="宋体" w:cs="宋体"/>
          <w:snapToGrid w:val="0"/>
          <w:color w:val="0000FF"/>
          <w:kern w:val="0"/>
          <w:szCs w:val="21"/>
          <w14:ligatures w14:val="none"/>
        </w:rPr>
        <w:t xml:space="preserve"> </w:t>
      </w:r>
      <m:oMath>
        <m:sSup>
          <m:sSupPr>
            <m:ctrlPr>
              <w:rPr>
                <w:rFonts w:ascii="Cambria Math" w:hAnsi="Cambria Math" w:eastAsia="宋体" w:cs="Times New Roman"/>
                <w:snapToGrid w:val="0"/>
                <w:color w:val="0000FF"/>
                <w:kern w:val="0"/>
                <w:szCs w:val="21"/>
                <w14:ligatures w14:val="non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eastAsia="宋体" w:cs="Times New Roman"/>
                <w:snapToGrid w:val="0"/>
                <w:color w:val="0000FF"/>
                <w:kern w:val="0"/>
                <w:szCs w:val="21"/>
                <w14:ligatures w14:val="none"/>
              </w:rPr>
              <m:t>I</m:t>
            </m:r>
            <m:ctrlPr>
              <w:rPr>
                <w:rFonts w:ascii="Cambria Math" w:hAnsi="Cambria Math" w:eastAsia="宋体" w:cs="Times New Roman"/>
                <w:snapToGrid w:val="0"/>
                <w:color w:val="0000FF"/>
                <w:kern w:val="0"/>
                <w:szCs w:val="21"/>
                <w14:ligatures w14:val="none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eastAsia="宋体" w:cs="Times New Roman"/>
                <w:snapToGrid w:val="0"/>
                <w:color w:val="0000FF"/>
                <w:kern w:val="0"/>
                <w:szCs w:val="21"/>
                <w14:ligatures w14:val="none"/>
              </w:rPr>
              <m:t>2</m:t>
            </m:r>
            <m:ctrlPr>
              <w:rPr>
                <w:rFonts w:ascii="Cambria Math" w:hAnsi="Cambria Math" w:eastAsia="宋体" w:cs="Times New Roman"/>
                <w:snapToGrid w:val="0"/>
                <w:color w:val="0000FF"/>
                <w:kern w:val="0"/>
                <w:szCs w:val="21"/>
                <w14:ligatures w14:val="none"/>
              </w:rPr>
            </m:ctrlPr>
          </m:sup>
        </m:sSup>
      </m:oMath>
      <w:r>
        <w:rPr>
          <w:rFonts w:hint="default" w:ascii="Times New Roman" w:hAnsi="Times New Roman" w:cs="Times New Roman"/>
          <w:color w:val="0000FF"/>
        </w:rPr>
        <w:t>R, где I — индуцированный ток в заготовке, обычно пропорциональный току в катушке.</w:t>
      </w:r>
    </w:p>
    <w:p w14:paraId="634825D6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Источник питания Bamac имеет функцию быстрого поддержания температуры по PID и возможность создания технологических кривых. При быстром нагреве меди может использоваться ИК-датчик для измерения температуры заготовки и обратной связи для поддержания постоянной температуры в замкнутом контуре. Однако на практике при пайке обмоток ротора из-за частого вращения заготовки датчик сложно точно позиционировать, поэтому опытный оператор обычно контролирует температуру визуально, что делает стабильность и скорость нагрева источника критически важными для сохранения изоляции.</w:t>
      </w:r>
    </w:p>
    <w:p w14:paraId="346859B1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Цифровое управление обеспечивает источнику питания высокую управляемость и стабильность работы, а выходная мощность не зависит от колебаний сети. Полный набор защитных и ограничительных функций гарантирует безопасную и надежную работу в любых условиях.</w:t>
      </w:r>
    </w:p>
    <w:p w14:paraId="3FA2E4D6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Оборудование для пайки ротора ветрогенератора обычно комплектуется закрытой системой циркуляции охлаждающей воды (бак, насос и необходимые функции контроля и защиты), ножным дистанционным пусковым переключателем, а также вращающейся подставкой для трансформатора.</w:t>
      </w:r>
    </w:p>
    <w:p w14:paraId="0E3BCC75">
      <w:pPr>
        <w:adjustRightInd w:val="0"/>
        <w:snapToGrid w:val="0"/>
        <w:spacing w:before="156" w:beforeLines="50" w:line="300" w:lineRule="auto"/>
        <w:ind w:firstLine="420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</w:p>
    <w:p w14:paraId="7C6E978A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IV. Практическое применение</w:t>
      </w:r>
    </w:p>
    <w:p w14:paraId="15758D96">
      <w:pPr>
        <w:adjustRightInd w:val="0"/>
        <w:snapToGrid w:val="0"/>
        <w:spacing w:before="156" w:beforeLines="50" w:line="300" w:lineRule="auto"/>
        <w:ind w:firstLine="420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  <w:r>
        <w:rPr>
          <w:rFonts w:hint="eastAsia" w:ascii="Arial" w:hAnsi="Arial" w:eastAsia="宋体" w:cs="Times New Roman"/>
          <w:kern w:val="0"/>
          <w:szCs w:val="21"/>
          <w14:ligatures w14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653415</wp:posOffset>
            </wp:positionV>
            <wp:extent cx="5688330" cy="2537460"/>
            <wp:effectExtent l="19050" t="0" r="7620" b="0"/>
            <wp:wrapSquare wrapText="bothSides"/>
            <wp:docPr id="397" name="图片 2" descr="细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2" descr="细节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5767A">
      <w:pPr>
        <w:bidi w:val="0"/>
        <w:jc w:val="left"/>
        <w:rPr>
          <w:rFonts w:ascii="Arial" w:hAnsi="Arial" w:eastAsia="宋体" w:cs="Times New Roman"/>
          <w:snapToGrid w:val="0"/>
          <w:kern w:val="0"/>
          <w:szCs w:val="21"/>
          <w14:ligatures w14:val="none"/>
        </w:rPr>
      </w:pPr>
      <w:r>
        <w:rPr>
          <w:rFonts w:hint="default" w:ascii="Times New Roman" w:hAnsi="Times New Roman" w:cs="Times New Roman"/>
          <w:color w:val="0000FF"/>
        </w:rPr>
        <w:t>На рисунке показан пример производства 1,5 МВт ветрового генератора с постоянной частотой и двойным питанием на одном из крупных заводов по выпуску электрических машин, где соединение верхнего и нижнего слоя обмотки ротора выполняется с использованием портативного трансформаторного индукционного пайочного источника питания Bamac AtecD-30/380.</w:t>
      </w:r>
    </w:p>
    <w:p w14:paraId="24ADA45F">
      <w:pPr>
        <w:bidi w:val="0"/>
        <w:jc w:val="left"/>
        <w:rPr>
          <w:rFonts w:hint="default" w:ascii="Times New Roman" w:hAnsi="Times New Roman" w:cs="Times New Roman"/>
          <w:color w:val="0000FF"/>
        </w:rPr>
      </w:pPr>
    </w:p>
    <w:p w14:paraId="388928A5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Основные параметры источника питания следующие:</w:t>
      </w:r>
    </w:p>
    <w:p w14:paraId="4776EB81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Номинальная выходная мощность: 30 кВт</w:t>
      </w:r>
    </w:p>
    <w:p w14:paraId="053F6F07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Номинальная частота: 30 кГц</w:t>
      </w:r>
    </w:p>
    <w:p w14:paraId="77A2442E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КПД: 93 %</w:t>
      </w:r>
    </w:p>
    <w:p w14:paraId="59A6C1B9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Коэффициент мощности: 0,90</w:t>
      </w:r>
    </w:p>
    <w:p w14:paraId="35656DB8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Напряжение питания: трехфазное 380 В</w:t>
      </w:r>
    </w:p>
    <w:p w14:paraId="41B85523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Номинальный ток источника питания: 54 А</w:t>
      </w:r>
    </w:p>
    <w:p w14:paraId="72898B86">
      <w:pPr>
        <w:adjustRightInd w:val="0"/>
        <w:snapToGrid w:val="0"/>
        <w:spacing w:before="156" w:beforeLines="50" w:line="300" w:lineRule="auto"/>
        <w:ind w:firstLine="420"/>
        <w:jc w:val="left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</w:p>
    <w:p w14:paraId="0123CC74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Как показано на рисунке, индукционная катушка выполнена из одной плоской медной трубки с зазором всего 10 мм.</w:t>
      </w:r>
    </w:p>
    <w:p w14:paraId="59AFB468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На одной рабочей позиции требуется всего один оператор: от начала нагрева до завершения пайки соединения токопровода на роторе может пройти всего 6 секунд. С учётом поворота, перестановки и точной наводки на место, весь процесс пайки одного соединения занимает около 15 секунд.</w:t>
      </w:r>
    </w:p>
    <w:p w14:paraId="357E3DA1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После двух лет интенсивной эксплуатации четыре индукционные источники питания Bamac на этом заводе обеспечили пайку более 2000 роторов ветровых генераторов, что подтвердило высокую надёжность оборудования и стабильность качества пайки на практике.</w:t>
      </w:r>
    </w:p>
    <w:p w14:paraId="31D130DA">
      <w:pPr>
        <w:adjustRightInd w:val="0"/>
        <w:snapToGrid w:val="0"/>
        <w:spacing w:before="156" w:beforeLines="50" w:line="300" w:lineRule="auto"/>
        <w:ind w:firstLine="420"/>
        <w:rPr>
          <w:rFonts w:hint="eastAsia" w:ascii="Arial" w:hAnsi="Arial" w:eastAsia="宋体" w:cs="Times New Roman"/>
          <w:snapToGrid w:val="0"/>
          <w:kern w:val="0"/>
          <w:szCs w:val="21"/>
          <w14:ligatures w14:val="none"/>
        </w:rPr>
      </w:pPr>
    </w:p>
    <w:p w14:paraId="3EDF7905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FF"/>
        </w:rPr>
        <w:t>Пять. Заключение</w:t>
      </w:r>
    </w:p>
    <w:p w14:paraId="012C2C9B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Для отрасли пайки обмоток роторов ветровых генераторов, благодаря постоянному совершенствованию конструкции индукционных источников питания и целенаправленному согласованию импеданса при индукционном нагреве обмоток, технология индукционной пайки получила успешное применение в производстве ветровых генераторов.</w:t>
      </w:r>
    </w:p>
    <w:p w14:paraId="6421CEC3">
      <w:pPr>
        <w:adjustRightInd w:val="0"/>
        <w:snapToGrid w:val="0"/>
        <w:spacing w:before="156" w:beforeLines="50" w:line="300" w:lineRule="auto"/>
        <w:rPr>
          <w:rFonts w:ascii="Arial" w:hAnsi="Arial" w:eastAsia="宋体" w:cs="Times New Roman"/>
          <w:snapToGrid w:val="0"/>
          <w:kern w:val="0"/>
          <w:sz w:val="24"/>
          <w:szCs w:val="24"/>
          <w14:ligatures w14:val="none"/>
        </w:rPr>
      </w:pPr>
    </w:p>
    <w:p w14:paraId="716098EA">
      <w:pPr>
        <w:spacing w:before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BF"/>
    <w:rsid w:val="001652BF"/>
    <w:rsid w:val="00267EF7"/>
    <w:rsid w:val="005816B3"/>
    <w:rsid w:val="00921B5C"/>
    <w:rsid w:val="00B3498D"/>
    <w:rsid w:val="00D5341B"/>
    <w:rsid w:val="0D8B6E08"/>
    <w:rsid w:val="0EF71D66"/>
    <w:rsid w:val="10BB5DBA"/>
    <w:rsid w:val="1A02029D"/>
    <w:rsid w:val="1AB75DE9"/>
    <w:rsid w:val="49492F43"/>
    <w:rsid w:val="4FC5140A"/>
    <w:rsid w:val="676F7BC1"/>
    <w:rsid w:val="7E66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6">
    <w:name w:val="网格型1"/>
    <w:basedOn w:val="14"/>
    <w:qFormat/>
    <w:uiPriority w:val="59"/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3041</Words>
  <Characters>9613</Characters>
  <Lines>32</Lines>
  <Paragraphs>9</Paragraphs>
  <TotalTime>6</TotalTime>
  <ScaleCrop>false</ScaleCrop>
  <LinksUpToDate>false</LinksUpToDate>
  <CharactersWithSpaces>10617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2025-09-10T09:13:00Z</dcterms:created>
  <dc:creator>符小文 Bamac</dc:creator>
  <cp:lastModifiedBy>企业用户_1592805498</cp:lastModifiedBy>
  <dcterms:modified xsi:type="dcterms:W3CDTF">2025-09-24T08:24:05Z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eyJoZGlkIjoiOWUyZmNmMDMyYTg0YjgyMmQzMDY3ODA1YTA0Zjk2YTAiLCJ1c2VySWQiOiIxNjc3NzI1ODExIn0=</vt:lpwstr>
  </property>
  <property fmtid="{D5CDD505-2E9C-101B-9397-08002B2CF9AE}" pid="3" name="KSOProductBuildVer">
    <vt:lpwstr>2052-12.1.0.22529</vt:lpwstr>
  </property>
  <property fmtid="{D5CDD505-2E9C-101B-9397-08002B2CF9AE}" pid="4" name="ICV">
    <vt:lpwstr>130133C844664430947971432C4145CA_12</vt:lpwstr>
  </property>
</Properties>
</file>