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868D8">
      <w:pPr>
        <w:adjustRightInd w:val="0"/>
        <w:snapToGrid w:val="0"/>
        <w:spacing w:before="326" w:beforeLines="100" w:after="652" w:afterLines="200" w:line="300" w:lineRule="auto"/>
        <w:jc w:val="center"/>
        <w:rPr>
          <w:rFonts w:hint="default" w:ascii="Times New Roman" w:hAnsi="Times New Roman" w:eastAsia="幼圆" w:cs="Times New Roman"/>
          <w:b/>
          <w:snapToGrid w:val="0"/>
          <w:color w:val="0000FF"/>
          <w:kern w:val="0"/>
          <w:sz w:val="21"/>
          <w:szCs w:val="21"/>
          <w14:ligatures w14:val="none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Анализ и сравнение характеристик магнитопроводов при установке индукционного датчика с пайкой из красной меди</w:t>
      </w:r>
    </w:p>
    <w:p w14:paraId="3D461ACB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Влияние магнитопровода на магнитные линии плоского индукционного датчика</w:t>
      </w:r>
      <w:r>
        <w:rPr>
          <w:rFonts w:hint="default" w:ascii="Times New Roman" w:hAnsi="Times New Roman" w:cs="Times New Roman"/>
          <w:color w:val="0000FF"/>
        </w:rPr>
        <w:br w:type="textWrapping"/>
      </w:r>
      <w:r>
        <w:rPr>
          <w:rFonts w:hint="default" w:ascii="Times New Roman" w:hAnsi="Times New Roman" w:cs="Times New Roman"/>
          <w:color w:val="0000FF"/>
        </w:rPr>
        <w:t>Ситуация с магнитными линиями, когда медная трубка датчика установлена без магнитопровода:</w:t>
      </w:r>
    </w:p>
    <w:p w14:paraId="5FC88936">
      <w:pPr>
        <w:widowControl/>
        <w:ind w:left="31" w:leftChars="-119" w:hanging="280" w:hangingChars="117"/>
        <w:jc w:val="left"/>
        <w:rPr>
          <w:rFonts w:ascii="Arial" w:hAnsi="Arial" w:eastAsia="宋体" w:cs="Times New Roman"/>
          <w:snapToGrid w:val="0"/>
          <w:color w:val="C00000"/>
          <w:kern w:val="0"/>
          <w:sz w:val="24"/>
          <w:szCs w:val="24"/>
          <w14:ligatures w14:val="none"/>
        </w:rPr>
      </w:pPr>
      <w:r>
        <w:rPr>
          <w:rFonts w:ascii="Arial" w:hAnsi="Arial" w:eastAsia="宋体" w:cs="Times New Roman"/>
          <w:snapToGrid w:val="0"/>
          <w:color w:val="C00000"/>
          <w:kern w:val="0"/>
          <w:sz w:val="24"/>
          <w:szCs w:val="24"/>
          <w14:ligatures w14:val="none"/>
        </w:rPr>
        <w:object>
          <v:shape id="_x0000_i1025" o:spt="75" type="#_x0000_t75" style="height:217pt;width:496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AutoCAD.Drawing.17" ShapeID="_x0000_i1025" DrawAspect="Content" ObjectID="_1468075725" r:id="rId10">
            <o:LockedField>false</o:LockedField>
          </o:OLEObject>
        </w:object>
      </w:r>
    </w:p>
    <w:p w14:paraId="2B44C1C6">
      <w:pPr>
        <w:widowControl/>
        <w:jc w:val="left"/>
        <w:rPr>
          <w:rFonts w:ascii="Arial" w:hAnsi="Arial" w:eastAsia="宋体" w:cs="Times New Roman"/>
          <w:snapToGrid w:val="0"/>
          <w:color w:val="C00000"/>
          <w:kern w:val="0"/>
          <w:sz w:val="24"/>
          <w:szCs w:val="24"/>
          <w14:ligatures w14:val="none"/>
        </w:rPr>
      </w:pPr>
    </w:p>
    <w:p w14:paraId="456A7828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Ситуация с магнитными линиями при установке магнитопровода на медную трубку датчика:</w:t>
      </w:r>
    </w:p>
    <w:p w14:paraId="7F4FA539">
      <w:pPr>
        <w:widowControl/>
        <w:ind w:left="34" w:leftChars="-119" w:hanging="283" w:hangingChars="118"/>
        <w:jc w:val="left"/>
        <w:rPr>
          <w:rFonts w:ascii="Arial" w:hAnsi="Arial" w:eastAsia="宋体" w:cs="Times New Roman"/>
          <w:snapToGrid w:val="0"/>
          <w:color w:val="C00000"/>
          <w:kern w:val="0"/>
          <w:sz w:val="24"/>
          <w:szCs w:val="24"/>
          <w14:ligatures w14:val="none"/>
        </w:rPr>
      </w:pPr>
      <w:r>
        <w:rPr>
          <w:rFonts w:ascii="Arial" w:hAnsi="Arial" w:eastAsia="宋体" w:cs="Times New Roman"/>
          <w:snapToGrid w:val="0"/>
          <w:color w:val="C00000"/>
          <w:kern w:val="0"/>
          <w:sz w:val="24"/>
          <w:szCs w:val="24"/>
          <w14:ligatures w14:val="none"/>
        </w:rPr>
        <w:object>
          <v:shape id="_x0000_i1026" o:spt="75" type="#_x0000_t75" style="height:197pt;width:498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AutoCAD.Drawing.17" ShapeID="_x0000_i1026" DrawAspect="Content" ObjectID="_1468075726" r:id="rId12">
            <o:LockedField>false</o:LockedField>
          </o:OLEObject>
        </w:object>
      </w:r>
    </w:p>
    <w:p w14:paraId="5BECA699">
      <w:pPr>
        <w:widowControl/>
        <w:jc w:val="left"/>
        <w:rPr>
          <w:rFonts w:hint="eastAsia" w:ascii="Arial" w:hAnsi="Arial" w:eastAsia="宋体" w:cs="Times New Roman"/>
          <w:snapToGrid w:val="0"/>
          <w:kern w:val="0"/>
          <w:sz w:val="24"/>
          <w:szCs w:val="24"/>
          <w14:ligatures w14:val="none"/>
        </w:rPr>
      </w:pPr>
    </w:p>
    <w:p w14:paraId="47C3006B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Сравнение приведённых двух рисунков показывает следующие различия между отсутствием и установкой магнитопровода:</w:t>
      </w:r>
    </w:p>
    <w:p w14:paraId="6C69B120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  <w:lang w:val="en-US" w:eastAsia="zh-CN"/>
        </w:rPr>
        <w:t>1.</w:t>
      </w:r>
      <w:r>
        <w:rPr>
          <w:rFonts w:hint="default" w:ascii="Times New Roman" w:hAnsi="Times New Roman" w:cs="Times New Roman"/>
          <w:color w:val="0000FF"/>
        </w:rPr>
        <w:t>При отсутствии магнитопровода магнитные линии распределены относительно рассеянно, а при установке магнитопровода они становятся более концентрированными;</w:t>
      </w:r>
    </w:p>
    <w:p w14:paraId="41CD2C1C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  <w:lang w:val="en-US" w:eastAsia="zh-CN"/>
        </w:rPr>
        <w:t>2.</w:t>
      </w:r>
      <w:r>
        <w:rPr>
          <w:rFonts w:hint="default" w:ascii="Times New Roman" w:hAnsi="Times New Roman" w:cs="Times New Roman"/>
          <w:color w:val="0000FF"/>
        </w:rPr>
        <w:t>Так как относительная магнитная проницаемость магнитопровода очень высока (обычно не ниже 1000), после его установки магнитное сопротивление цепи значительно уменьшается, что приводит к увеличению эффективной индукции магнитного поля. Это является основной причиной заметного повышения эффективности индукции при установке магнитопровода;</w:t>
      </w:r>
    </w:p>
    <w:p w14:paraId="1E0C83D6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  <w:lang w:val="en-US" w:eastAsia="zh-CN"/>
        </w:rPr>
        <w:t>3.</w:t>
      </w:r>
      <w:r>
        <w:rPr>
          <w:rFonts w:hint="default" w:ascii="Times New Roman" w:hAnsi="Times New Roman" w:cs="Times New Roman"/>
          <w:color w:val="0000FF"/>
        </w:rPr>
        <w:t>После установки магнитопровода магнитные линии в основном ограничены пределами самого магнитопровода, другими словами, магнитное поле не выходит за его пределы и не вызывает индукционного нагрева внешних металлических объектов;</w:t>
      </w:r>
    </w:p>
    <w:p w14:paraId="225E24E3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  <w:lang w:val="en-US" w:eastAsia="zh-CN"/>
        </w:rPr>
        <w:t>4.</w:t>
      </w:r>
      <w:r>
        <w:rPr>
          <w:rFonts w:hint="default" w:ascii="Times New Roman" w:hAnsi="Times New Roman" w:cs="Times New Roman"/>
          <w:color w:val="0000FF"/>
        </w:rPr>
        <w:t>Встроенный магнитопровод позволяет снизить необходимый ток датчика, тем самым уменьшая собственные потери датчика.</w:t>
      </w:r>
    </w:p>
    <w:p w14:paraId="66AD4999">
      <w:pPr>
        <w:bidi w:val="0"/>
        <w:jc w:val="left"/>
        <w:rPr>
          <w:rFonts w:hint="default" w:ascii="Times New Roman" w:hAnsi="Times New Roman" w:cs="Times New Roman"/>
          <w:color w:val="0000FF"/>
        </w:rPr>
      </w:pPr>
    </w:p>
    <w:p w14:paraId="518DFD43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II. Разные типы магнитопроводящих материалов</w:t>
      </w:r>
      <w:r>
        <w:rPr>
          <w:rFonts w:hint="default" w:ascii="Times New Roman" w:hAnsi="Times New Roman" w:cs="Times New Roman"/>
          <w:color w:val="0000FF"/>
        </w:rPr>
        <w:br w:type="textWrapping"/>
      </w:r>
      <w:r>
        <w:rPr>
          <w:rFonts w:hint="default" w:ascii="Times New Roman" w:hAnsi="Times New Roman" w:cs="Times New Roman"/>
          <w:color w:val="0000FF"/>
        </w:rPr>
        <w:t>На данный момент используются два основных типа магнитопроводящих материалов: феррит и кремниesteel. Преимущества феррита заключаются в низких потерях на высоких частотах, но его недостаток в том, что насыщенная индукция магнитного поля низка (для высокочастотных типов обычно менее 0.3T). Преимущества кремниевой стали включают высокую насыщенную индукцию магнитного поля (более 1.2T) и высокую магнитную проницаемость, но её недостаток — большие потери на высоких частотах по сравнению с ферритом. Однако, использование тонких листов с низкими потерями может эффективно значительно уменьшить потери на высоких частотах.</w:t>
      </w:r>
    </w:p>
    <w:p w14:paraId="0D7DC0F3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В применении индукционной пайки с медными трубками, необходимо пропускать очень большие высокочастотные токи через медную трубку индуктора. Например, ток в индукторах с одной петлей или с открытым вставным типом мощностью 60 кВт может иметь эффективное значение от 3000 до 5000 А, а частота составляет около 18 кГц. Если используется медная трубка размером 10 мм × 10 мм, то при токе с эффективным значением 4000 А пик насыщения магнитной индукции Bm в магнитопроводящем материале можно приблизительно вычислить по следующей формуле:</w:t>
      </w:r>
    </w:p>
    <w:p w14:paraId="4707C494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Bm ＝ （I×1.414 / 0.01）×1.256/1000000   .....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(в Тесла)</w:t>
      </w:r>
    </w:p>
    <w:p w14:paraId="4D71BEDD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Где I — это эффективное значение тока индуктора, умноженное на 1.414 для получения пикового тока, 0.01 — это ширина медной трубки, а 1.256/1000000 — это константа. Подставив значения в формулу:</w:t>
      </w:r>
    </w:p>
    <w:p w14:paraId="652F9116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Bm ＝ 4000×1.414 / 0.01 ×1.256/1000000 ＝ 0.71T</w:t>
      </w:r>
    </w:p>
    <w:p w14:paraId="5FF187CD">
      <w:pPr>
        <w:bidi w:val="0"/>
        <w:jc w:val="left"/>
        <w:rPr>
          <w:rFonts w:hint="default" w:ascii="Times New Roman" w:hAnsi="Times New Roman" w:cs="Times New Roman"/>
          <w:color w:val="0000FF"/>
        </w:rPr>
      </w:pPr>
    </w:p>
    <w:p w14:paraId="2CE162CC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Таким образом, значение превышает насыщенную индукцию магнитного поля феррита, но остается в пределах насыщенной индукции магнитного поля кремниевой стали. Поэтому в этом случае следует использовать кремниевую сталь в качестве магнитопроводящего материала.</w:t>
      </w:r>
    </w:p>
    <w:p w14:paraId="6A84248E">
      <w:pPr>
        <w:adjustRightInd w:val="0"/>
        <w:snapToGrid w:val="0"/>
        <w:spacing w:before="163" w:beforeLines="50" w:line="300" w:lineRule="auto"/>
        <w:jc w:val="left"/>
        <w:rPr>
          <w:rFonts w:ascii="Arial" w:hAnsi="Arial" w:eastAsia="宋体" w:cs="Times New Roman"/>
          <w:snapToGrid w:val="0"/>
          <w:kern w:val="0"/>
          <w:sz w:val="24"/>
          <w:szCs w:val="24"/>
          <w14:ligatures w14:val="none"/>
        </w:rPr>
      </w:pPr>
    </w:p>
    <w:p w14:paraId="1AB93CB9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cs="Times New Roman"/>
          <w:color w:val="0000FF"/>
        </w:rPr>
        <w:t>III. Ключевые моменты при использовании кремниевой стали в качестве магнитопроводящего материала</w:t>
      </w:r>
    </w:p>
    <w:p w14:paraId="427B7CC1">
      <w:pPr>
        <w:bidi w:val="0"/>
        <w:jc w:val="left"/>
        <w:rPr>
          <w:rFonts w:hint="default" w:ascii="Times New Roman" w:hAnsi="Times New Roman" w:cs="Times New Roman"/>
          <w:color w:val="0000FF"/>
        </w:rPr>
      </w:pPr>
    </w:p>
    <w:p w14:paraId="49A759E3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color w:val="0000FF"/>
          <w:lang w:val="en-US" w:eastAsia="zh-CN"/>
        </w:rPr>
        <w:t>1.</w:t>
      </w:r>
      <w:r>
        <w:rPr>
          <w:rFonts w:hint="default" w:ascii="Times New Roman" w:hAnsi="Times New Roman" w:cs="Times New Roman"/>
          <w:color w:val="0000FF"/>
        </w:rPr>
        <w:t>Нельзя использовать обычные кремниевые стали стандартного типа, так как из-за слишком больших потерь на высоких частотах это может привести к неэффективности, а также к перегреву кремниевой стали, превышающему её точку Кюри, что приведет к потере магнетизма и даже к негативному эффекту.</w:t>
      </w:r>
    </w:p>
    <w:p w14:paraId="450BBDE7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color w:val="0000FF"/>
          <w:lang w:val="en-US" w:eastAsia="zh-CN"/>
        </w:rPr>
        <w:t>2.</w:t>
      </w:r>
      <w:r>
        <w:rPr>
          <w:rFonts w:hint="default" w:ascii="Times New Roman" w:hAnsi="Times New Roman" w:cs="Times New Roman"/>
          <w:color w:val="0000FF"/>
        </w:rPr>
        <w:t>Обычно необходимо выбирать кремниевую сталь с номинальными потерями не более 90 Вт/кг и толщиной листа не более 0.27 мм.</w:t>
      </w:r>
    </w:p>
    <w:p w14:paraId="45A4EED4">
      <w:pPr>
        <w:bidi w:val="0"/>
        <w:jc w:val="left"/>
        <w:rPr>
          <w:rFonts w:hint="default" w:ascii="Times New Roman" w:hAnsi="Times New Roman" w:cs="Times New Roman"/>
          <w:color w:val="0000FF"/>
        </w:rPr>
      </w:pPr>
    </w:p>
    <w:p w14:paraId="60D6DE30">
      <w:pPr>
        <w:bidi w:val="0"/>
        <w:jc w:val="left"/>
        <w:rPr>
          <w:rFonts w:hint="default" w:ascii="Times New Roman" w:hAnsi="Times New Roman" w:cs="Times New Roman"/>
          <w:color w:val="0000FF"/>
        </w:rPr>
      </w:pPr>
    </w:p>
    <w:p w14:paraId="017AF9C6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color w:val="0000FF"/>
          <w:lang w:val="en-US" w:eastAsia="zh-CN"/>
        </w:rPr>
        <w:t>3.</w:t>
      </w:r>
      <w:r>
        <w:rPr>
          <w:rFonts w:hint="default" w:ascii="Times New Roman" w:hAnsi="Times New Roman" w:cs="Times New Roman"/>
          <w:color w:val="0000FF"/>
        </w:rPr>
        <w:t>Следует выбирать кремниевую сталь с ориентированными зернами, при этом направление ориентации должно быть перпендикулярным к изделию.</w:t>
      </w:r>
    </w:p>
    <w:p w14:paraId="0FCF5464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color w:val="0000FF"/>
          <w:lang w:val="en-US" w:eastAsia="zh-CN"/>
        </w:rPr>
        <w:t>4.</w:t>
      </w:r>
      <w:r>
        <w:rPr>
          <w:rFonts w:hint="default" w:ascii="Times New Roman" w:hAnsi="Times New Roman" w:cs="Times New Roman"/>
          <w:color w:val="0000FF"/>
        </w:rPr>
        <w:t>Листы должны иметь изоляцию между ними, а температура изоляции должна быть высокой; при укладке листов необходимо соблюдать единство направления резки.</w:t>
      </w:r>
    </w:p>
    <w:p w14:paraId="793D0B96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color w:val="0000FF"/>
          <w:lang w:val="en-US" w:eastAsia="zh-CN"/>
        </w:rPr>
        <w:t>5.</w:t>
      </w:r>
      <w:r>
        <w:rPr>
          <w:rFonts w:hint="default" w:ascii="Times New Roman" w:hAnsi="Times New Roman" w:cs="Times New Roman"/>
          <w:color w:val="0000FF"/>
        </w:rPr>
        <w:t>Открытие кремниевой стали должно быть немного меньше диаметра медной трубки, чтобы она могла быть вставлена в медную трубку с использованием водяного охлаждения для рассеивания тепла.</w:t>
      </w:r>
    </w:p>
    <w:p w14:paraId="2A55F3C7">
      <w:pPr>
        <w:adjustRightInd w:val="0"/>
        <w:snapToGrid w:val="0"/>
        <w:spacing w:before="163" w:beforeLines="50" w:line="300" w:lineRule="auto"/>
        <w:ind w:firstLine="465"/>
        <w:jc w:val="left"/>
        <w:rPr>
          <w:rFonts w:ascii="Arial" w:hAnsi="Arial" w:eastAsia="宋体" w:cs="Times New Roman"/>
          <w:snapToGrid w:val="0"/>
          <w:kern w:val="0"/>
          <w:sz w:val="24"/>
          <w:szCs w:val="24"/>
          <w14:ligatures w14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247" w:right="851" w:bottom="851" w:left="1134" w:header="454" w:footer="454" w:gutter="0"/>
          <w:cols w:space="425" w:num="1"/>
          <w:docGrid w:type="linesAndChars" w:linePitch="326" w:charSpace="0"/>
        </w:sectPr>
      </w:pPr>
    </w:p>
    <w:p w14:paraId="53AA29A6">
      <w:pPr>
        <w:bidi w:val="0"/>
        <w:jc w:val="left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eastAsia="宋体" w:cs="Times New Roman"/>
          <w:color w:val="0000FF"/>
          <w:sz w:val="21"/>
          <w:szCs w:val="21"/>
        </w:rPr>
        <w:t>IV</w:t>
      </w:r>
      <w:r>
        <w:rPr>
          <w:rFonts w:hint="default" w:ascii="Times New Roman" w:hAnsi="Times New Roman" w:cs="Times New Roman"/>
          <w:color w:val="0000FF"/>
          <w:sz w:val="21"/>
          <w:szCs w:val="21"/>
        </w:rPr>
        <w:t>. Компле</w:t>
      </w:r>
      <w:r>
        <w:rPr>
          <w:rFonts w:hint="default" w:ascii="Times New Roman" w:hAnsi="Times New Roman" w:cs="Times New Roman"/>
          <w:color w:val="0000FF"/>
        </w:rPr>
        <w:t>ксное сравнение производительности</w:t>
      </w:r>
    </w:p>
    <w:tbl>
      <w:tblPr>
        <w:tblStyle w:val="41"/>
        <w:tblpPr w:leftFromText="180" w:rightFromText="180" w:vertAnchor="text" w:horzAnchor="page" w:tblpX="1311" w:tblpY="137"/>
        <w:tblOverlap w:val="never"/>
        <w:tblW w:w="100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976"/>
        <w:gridCol w:w="2725"/>
        <w:gridCol w:w="2587"/>
      </w:tblGrid>
      <w:tr w14:paraId="3E42C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299B1EDB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Проект</w:t>
            </w:r>
          </w:p>
        </w:tc>
        <w:tc>
          <w:tcPr>
            <w:tcW w:w="2976" w:type="dxa"/>
          </w:tcPr>
          <w:p w14:paraId="18573076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Без магнитопроводящего материала</w:t>
            </w:r>
          </w:p>
        </w:tc>
        <w:tc>
          <w:tcPr>
            <w:tcW w:w="2725" w:type="dxa"/>
          </w:tcPr>
          <w:p w14:paraId="483E7A0A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Вставка феррита</w:t>
            </w:r>
          </w:p>
        </w:tc>
        <w:tc>
          <w:tcPr>
            <w:tcW w:w="2587" w:type="dxa"/>
          </w:tcPr>
          <w:p w14:paraId="17E1D9EA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Вставка кремниевой стали с низкими потерями</w:t>
            </w:r>
          </w:p>
        </w:tc>
      </w:tr>
      <w:tr w14:paraId="59EE1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002A4E10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Распределение магнитных линий</w:t>
            </w:r>
          </w:p>
        </w:tc>
        <w:tc>
          <w:tcPr>
            <w:tcW w:w="2976" w:type="dxa"/>
          </w:tcPr>
          <w:p w14:paraId="111AC28A">
            <w:pPr>
              <w:bidi w:val="0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дисперсия</w:t>
            </w:r>
          </w:p>
        </w:tc>
        <w:tc>
          <w:tcPr>
            <w:tcW w:w="2725" w:type="dxa"/>
          </w:tcPr>
          <w:p w14:paraId="3FC2C645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Сосредоточенное (когда фактическая магнитная индукция ниже насыщенной индукции феррита, далее называется «несатурация»)</w:t>
            </w:r>
            <w:r>
              <w:rPr>
                <w:color w:val="0000FF"/>
              </w:rPr>
              <w:br w:type="textWrapping"/>
            </w:r>
            <w:r>
              <w:rPr>
                <w:rFonts w:hint="eastAsia"/>
                <w:color w:val="0000FF"/>
              </w:rPr>
              <w:t>дисперсия</w:t>
            </w:r>
            <w:r>
              <w:rPr>
                <w:color w:val="0000FF"/>
              </w:rPr>
              <w:t xml:space="preserve"> (когда фактическая магнитная индукция выше насыщенной индукции феррита, далее называется «насыщение»)</w:t>
            </w:r>
          </w:p>
        </w:tc>
        <w:tc>
          <w:tcPr>
            <w:tcW w:w="2587" w:type="dxa"/>
          </w:tcPr>
          <w:p w14:paraId="105663DB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Сосредоточенное</w:t>
            </w:r>
          </w:p>
        </w:tc>
      </w:tr>
      <w:tr w14:paraId="0049D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46FE704C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Эффективная магнитная индукция и эффективный магнитный поток</w:t>
            </w:r>
          </w:p>
        </w:tc>
        <w:tc>
          <w:tcPr>
            <w:tcW w:w="2976" w:type="dxa"/>
          </w:tcPr>
          <w:p w14:paraId="4984F9D8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Низкие</w:t>
            </w:r>
          </w:p>
        </w:tc>
        <w:tc>
          <w:tcPr>
            <w:tcW w:w="2725" w:type="dxa"/>
          </w:tcPr>
          <w:p w14:paraId="5A404581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Высокие (при несатурации)</w:t>
            </w:r>
          </w:p>
          <w:p w14:paraId="24044576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Низкие (при насыщении)</w:t>
            </w:r>
          </w:p>
        </w:tc>
        <w:tc>
          <w:tcPr>
            <w:tcW w:w="2587" w:type="dxa"/>
          </w:tcPr>
          <w:p w14:paraId="5BF72A5B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Высокие</w:t>
            </w:r>
          </w:p>
        </w:tc>
      </w:tr>
      <w:tr w14:paraId="33825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349AA65F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Индукционный ток</w:t>
            </w:r>
          </w:p>
        </w:tc>
        <w:tc>
          <w:tcPr>
            <w:tcW w:w="2976" w:type="dxa"/>
          </w:tcPr>
          <w:p w14:paraId="5C8213D5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Большой</w:t>
            </w:r>
          </w:p>
        </w:tc>
        <w:tc>
          <w:tcPr>
            <w:tcW w:w="2725" w:type="dxa"/>
          </w:tcPr>
          <w:p w14:paraId="0A06A372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Менее большой</w:t>
            </w:r>
          </w:p>
        </w:tc>
        <w:tc>
          <w:tcPr>
            <w:tcW w:w="2587" w:type="dxa"/>
          </w:tcPr>
          <w:p w14:paraId="7615B00E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Минимальный</w:t>
            </w:r>
          </w:p>
        </w:tc>
      </w:tr>
      <w:tr w14:paraId="23C8A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777" w:type="dxa"/>
          </w:tcPr>
          <w:p w14:paraId="40CE7789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Потери индуктора</w:t>
            </w:r>
          </w:p>
        </w:tc>
        <w:tc>
          <w:tcPr>
            <w:tcW w:w="2976" w:type="dxa"/>
            <w:vAlign w:val="top"/>
          </w:tcPr>
          <w:p w14:paraId="478019CB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Большой</w:t>
            </w:r>
          </w:p>
        </w:tc>
        <w:tc>
          <w:tcPr>
            <w:tcW w:w="2725" w:type="dxa"/>
            <w:vAlign w:val="top"/>
          </w:tcPr>
          <w:p w14:paraId="13BC0DA0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Менее большой</w:t>
            </w:r>
          </w:p>
        </w:tc>
        <w:tc>
          <w:tcPr>
            <w:tcW w:w="2587" w:type="dxa"/>
            <w:vAlign w:val="top"/>
          </w:tcPr>
          <w:p w14:paraId="7F80E707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Минимальный</w:t>
            </w:r>
          </w:p>
        </w:tc>
      </w:tr>
      <w:tr w14:paraId="2E891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4CFFF717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Потери самого магнитопроводящего материала</w:t>
            </w:r>
          </w:p>
        </w:tc>
        <w:tc>
          <w:tcPr>
            <w:tcW w:w="2976" w:type="dxa"/>
          </w:tcPr>
          <w:p w14:paraId="23A7121B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Отсутствуют</w:t>
            </w:r>
          </w:p>
        </w:tc>
        <w:tc>
          <w:tcPr>
            <w:tcW w:w="2725" w:type="dxa"/>
          </w:tcPr>
          <w:p w14:paraId="72B8519F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Небольшие</w:t>
            </w:r>
          </w:p>
        </w:tc>
        <w:tc>
          <w:tcPr>
            <w:tcW w:w="2587" w:type="dxa"/>
          </w:tcPr>
          <w:p w14:paraId="34865E16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Более высокие</w:t>
            </w:r>
          </w:p>
        </w:tc>
      </w:tr>
      <w:tr w14:paraId="7317F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60D6782E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Ограничение магнитного поля</w:t>
            </w:r>
          </w:p>
        </w:tc>
        <w:tc>
          <w:tcPr>
            <w:tcW w:w="2976" w:type="dxa"/>
          </w:tcPr>
          <w:p w14:paraId="214A2CC2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Отсутствуют, утечка магнитного поля, может нагревать окружающий металл</w:t>
            </w:r>
          </w:p>
        </w:tc>
        <w:tc>
          <w:tcPr>
            <w:tcW w:w="2725" w:type="dxa"/>
          </w:tcPr>
          <w:p w14:paraId="622508B8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При несатурации утечек нет; при насыщении есть утечка</w:t>
            </w:r>
          </w:p>
        </w:tc>
        <w:tc>
          <w:tcPr>
            <w:tcW w:w="2587" w:type="dxa"/>
          </w:tcPr>
          <w:p w14:paraId="2FDD3DB7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Нет утечек, не нагревает окружающий металл</w:t>
            </w:r>
          </w:p>
        </w:tc>
      </w:tr>
      <w:tr w14:paraId="10845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777" w:type="dxa"/>
          </w:tcPr>
          <w:p w14:paraId="37958971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Мощность источника питания</w:t>
            </w:r>
          </w:p>
          <w:p w14:paraId="340FC2DD">
            <w:pPr>
              <w:bidi w:val="0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>(Необходимый уровень мощности источника питания для сварки одинаковых медных изделий)</w:t>
            </w:r>
          </w:p>
        </w:tc>
        <w:tc>
          <w:tcPr>
            <w:tcW w:w="2976" w:type="dxa"/>
          </w:tcPr>
          <w:p w14:paraId="6ECA263C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Высокий выходной ток высокой частоты, высокая необходимая мощность, высокая стоимость оборудования</w:t>
            </w:r>
          </w:p>
        </w:tc>
        <w:tc>
          <w:tcPr>
            <w:tcW w:w="2725" w:type="dxa"/>
          </w:tcPr>
          <w:p w14:paraId="4FFA981A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Низкий выходной ток высокой частоты, меньшая необходимая мощность, снижение стоимости оборудования</w:t>
            </w:r>
          </w:p>
        </w:tc>
        <w:tc>
          <w:tcPr>
            <w:tcW w:w="2587" w:type="dxa"/>
          </w:tcPr>
          <w:p w14:paraId="0F9E852F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Ещё меньший выходной ток высокой частоты, ещё меньшая необходимая мощность, низкая стоимость оборудования</w:t>
            </w:r>
          </w:p>
        </w:tc>
      </w:tr>
      <w:tr w14:paraId="43923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777" w:type="dxa"/>
          </w:tcPr>
          <w:p w14:paraId="0D125BFA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Общая эффективность индукционного нагрева</w:t>
            </w:r>
          </w:p>
        </w:tc>
        <w:tc>
          <w:tcPr>
            <w:tcW w:w="2976" w:type="dxa"/>
          </w:tcPr>
          <w:p w14:paraId="4CC5EE10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Низкая</w:t>
            </w:r>
          </w:p>
        </w:tc>
        <w:tc>
          <w:tcPr>
            <w:tcW w:w="2725" w:type="dxa"/>
          </w:tcPr>
          <w:p w14:paraId="3C6C036C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Средняя</w:t>
            </w:r>
          </w:p>
        </w:tc>
        <w:tc>
          <w:tcPr>
            <w:tcW w:w="2587" w:type="dxa"/>
          </w:tcPr>
          <w:p w14:paraId="2D7AD6B6">
            <w:pPr>
              <w:bidi w:val="0"/>
              <w:rPr>
                <w:color w:val="0000FF"/>
              </w:rPr>
            </w:pPr>
            <w:r>
              <w:rPr>
                <w:color w:val="0000FF"/>
              </w:rPr>
              <w:t>Высокая</w:t>
            </w:r>
          </w:p>
        </w:tc>
      </w:tr>
    </w:tbl>
    <w:p w14:paraId="029A8F5D">
      <w:pPr>
        <w:adjustRightInd w:val="0"/>
        <w:snapToGrid w:val="0"/>
        <w:spacing w:before="156" w:beforeLines="50" w:line="300" w:lineRule="auto"/>
        <w:rPr>
          <w:rFonts w:ascii="Arial" w:hAnsi="Arial" w:eastAsia="宋体" w:cs="Times New Roman"/>
          <w:snapToGrid w:val="0"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7256866C">
      <w:pPr>
        <w:spacing w:before="15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16E4C">
    <w:pPr>
      <w:pStyle w:val="11"/>
      <w:spacing w:before="120" w:after="120"/>
      <w:jc w:val="center"/>
    </w:pPr>
    <w:r>
      <w:rPr>
        <w:rFonts w:hint="eastAsia"/>
      </w:rPr>
      <w:t xml:space="preserve">巴玛克电气       </w:t>
    </w:r>
    <w:r>
      <w:rPr>
        <w:rStyle w:val="20"/>
      </w:rPr>
      <w:fldChar w:fldCharType="begin"/>
    </w:r>
    <w:r>
      <w:rPr>
        <w:rStyle w:val="20"/>
      </w:rPr>
      <w:instrText xml:space="preserve"> PAGE </w:instrText>
    </w:r>
    <w:r>
      <w:rPr>
        <w:rStyle w:val="20"/>
      </w:rPr>
      <w:fldChar w:fldCharType="separate"/>
    </w:r>
    <w:r>
      <w:rPr>
        <w:rStyle w:val="20"/>
      </w:rPr>
      <w:t>138</w:t>
    </w:r>
    <w:r>
      <w:rPr>
        <w:rStyle w:val="20"/>
      </w:rPr>
      <w:fldChar w:fldCharType="end"/>
    </w:r>
    <w:r>
      <w:rPr>
        <w:rStyle w:val="20"/>
        <w:rFonts w:hint="eastAsia"/>
      </w:rPr>
      <w:t xml:space="preserve">  Of  </w:t>
    </w:r>
    <w:r>
      <w:rPr>
        <w:rStyle w:val="20"/>
      </w:rPr>
      <w:fldChar w:fldCharType="begin"/>
    </w:r>
    <w:r>
      <w:rPr>
        <w:rStyle w:val="20"/>
      </w:rPr>
      <w:instrText xml:space="preserve"> NUMPAGES </w:instrText>
    </w:r>
    <w:r>
      <w:rPr>
        <w:rStyle w:val="20"/>
      </w:rPr>
      <w:fldChar w:fldCharType="separate"/>
    </w:r>
    <w:r>
      <w:rPr>
        <w:rStyle w:val="20"/>
      </w:rPr>
      <w:t>216</w:t>
    </w:r>
    <w:r>
      <w:rPr>
        <w:rStyle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FD152">
    <w:pPr>
      <w:pStyle w:val="11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4638B">
    <w:pPr>
      <w:pStyle w:val="11"/>
      <w:spacing w:before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FFA7A">
    <w:pPr>
      <w:pStyle w:val="12"/>
      <w:spacing w:before="120"/>
      <w:ind w:firstLine="360"/>
      <w:jc w:val="righ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22225</wp:posOffset>
          </wp:positionH>
          <wp:positionV relativeFrom="paragraph">
            <wp:posOffset>-14605</wp:posOffset>
          </wp:positionV>
          <wp:extent cx="953135" cy="248285"/>
          <wp:effectExtent l="19050" t="0" r="0" b="0"/>
          <wp:wrapSquare wrapText="bothSides"/>
          <wp:docPr id="398" name="图片 1" descr="BAMAC@标志位图不带下横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图片 1" descr="BAMAC@标志位图不带下横线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3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</w:rPr>
      <w:t>文档模板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1914A">
    <w:pPr>
      <w:pStyle w:val="12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DF80F">
    <w:pPr>
      <w:pStyle w:val="12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8B"/>
    <w:rsid w:val="00267EF7"/>
    <w:rsid w:val="005816B3"/>
    <w:rsid w:val="0059708B"/>
    <w:rsid w:val="00921B5C"/>
    <w:rsid w:val="00B3498D"/>
    <w:rsid w:val="00D5341B"/>
    <w:rsid w:val="07C571DB"/>
    <w:rsid w:val="13381AF4"/>
    <w:rsid w:val="13705BC8"/>
    <w:rsid w:val="14B7681B"/>
    <w:rsid w:val="1AC33331"/>
    <w:rsid w:val="1B202AAB"/>
    <w:rsid w:val="1C2C560D"/>
    <w:rsid w:val="20315438"/>
    <w:rsid w:val="2A2B2EF8"/>
    <w:rsid w:val="2EC217A6"/>
    <w:rsid w:val="3AD649AE"/>
    <w:rsid w:val="3C706E90"/>
    <w:rsid w:val="4AD55451"/>
    <w:rsid w:val="5E393288"/>
    <w:rsid w:val="5FBD7B0D"/>
    <w:rsid w:val="7927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8"/>
    <w:link w:val="12"/>
    <w:semiHidden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1"/>
    <w:semiHidden/>
    <w:qFormat/>
    <w:uiPriority w:val="99"/>
    <w:rPr>
      <w:sz w:val="18"/>
      <w:szCs w:val="18"/>
    </w:rPr>
  </w:style>
  <w:style w:type="table" w:customStyle="1" w:styleId="41">
    <w:name w:val="网格型1"/>
    <w:basedOn w:val="16"/>
    <w:qFormat/>
    <w:uiPriority w:val="59"/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3.wmf"/><Relationship Id="rId12" Type="http://schemas.openxmlformats.org/officeDocument/2006/relationships/oleObject" Target="embeddings/oleObject2.bin"/><Relationship Id="rId11" Type="http://schemas.openxmlformats.org/officeDocument/2006/relationships/image" Target="media/image2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1845</Words>
  <Characters>6063</Characters>
  <Lines>10</Lines>
  <Paragraphs>2</Paragraphs>
  <TotalTime>10</TotalTime>
  <ScaleCrop>false</ScaleCrop>
  <LinksUpToDate>false</LinksUpToDate>
  <CharactersWithSpaces>6711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2025-09-10T09:14:00Z</dcterms:created>
  <dc:creator>符小文 Bamac</dc:creator>
  <cp:lastModifiedBy>企业用户_1592805498</cp:lastModifiedBy>
  <dcterms:modified xsi:type="dcterms:W3CDTF">2025-09-24T08:26:15Z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eyJoZGlkIjoiOWUyZmNmMDMyYTg0YjgyMmQzMDY3ODA1YTA0Zjk2YTAiLCJ1c2VySWQiOiIxNjc3NzI1ODExIn0=</vt:lpwstr>
  </property>
  <property fmtid="{D5CDD505-2E9C-101B-9397-08002B2CF9AE}" pid="3" name="KSOProductBuildVer">
    <vt:lpwstr>2052-12.1.0.22529</vt:lpwstr>
  </property>
  <property fmtid="{D5CDD505-2E9C-101B-9397-08002B2CF9AE}" pid="4" name="ICV">
    <vt:lpwstr>57DEB6C7DE694A68B42A77B2B278171C_12</vt:lpwstr>
  </property>
</Properties>
</file>